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ind w:firstLine="640"/>
        <w:jc w:val="left"/>
        <w:rPr>
          <w:rFonts w:hint="default" w:ascii="Times New Roman" w:hAnsi="Times New Roman" w:eastAsia="方正仿宋_GBK" w:cs="Times New Roman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Cs/>
          <w:sz w:val="32"/>
          <w:szCs w:val="32"/>
        </w:rPr>
        <w:t>附件</w:t>
      </w:r>
      <w:r>
        <w:rPr>
          <w:rFonts w:hint="default" w:ascii="Times New Roman" w:hAnsi="Times New Roman" w:eastAsia="方正仿宋_GBK" w:cs="Times New Roman"/>
          <w:bCs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bCs/>
          <w:sz w:val="32"/>
          <w:szCs w:val="32"/>
        </w:rPr>
        <w:t>：</w:t>
      </w:r>
      <w:r>
        <w:rPr>
          <w:rFonts w:hint="default" w:ascii="Times New Roman" w:hAnsi="Times New Roman" w:eastAsia="方正仿宋_GBK" w:cs="Times New Roman"/>
          <w:bCs/>
          <w:sz w:val="32"/>
          <w:szCs w:val="32"/>
          <w:lang w:val="en-US" w:eastAsia="zh-CN"/>
        </w:rPr>
        <w:t>交子创意作品全球征集大赛补充资料</w:t>
      </w:r>
    </w:p>
    <w:p>
      <w:pPr>
        <w:spacing w:line="600" w:lineRule="exact"/>
        <w:ind w:firstLine="640"/>
        <w:jc w:val="center"/>
        <w:rPr>
          <w:rFonts w:hint="default" w:ascii="方正黑体_GBK" w:hAnsi="方正黑体_GBK" w:eastAsia="方正黑体_GBK" w:cs="方正黑体_GBK"/>
          <w:bCs/>
          <w:sz w:val="32"/>
          <w:szCs w:val="32"/>
          <w:lang w:val="en-US" w:eastAsia="zh-CN"/>
        </w:rPr>
      </w:pPr>
    </w:p>
    <w:p>
      <w:pPr>
        <w:spacing w:line="600" w:lineRule="exact"/>
        <w:ind w:firstLine="640" w:firstLineChars="200"/>
        <w:outlineLvl w:val="1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  <w:t>关于交子金融博物馆</w:t>
      </w:r>
      <w:bookmarkStart w:id="0" w:name="_GoBack"/>
      <w:bookmarkEnd w:id="0"/>
    </w:p>
    <w:p>
      <w:pPr>
        <w:spacing w:line="600" w:lineRule="exact"/>
        <w:ind w:firstLine="640" w:firstLineChars="200"/>
        <w:rPr>
          <w:rFonts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交子金融博物馆位于交子公园内，是成都交子金控集团联合人行四川省钱币学会、西南财大共同打造的全国首家以“交子”为主题的金融专业博物馆，旨在传承交子金融文化，打造西部金融中心文化地标。博物馆按照专业博物馆标准规划建设，总建筑面积4226平方米，共设“裂纸为币”“交行天下”2个常设展厅以及1个“千年传承”临展厅。博物馆于2022年5月正式开馆投运，是全省首家在省文物局备案的金融行业博物馆。</w:t>
      </w:r>
    </w:p>
    <w:p>
      <w:pPr>
        <w:spacing w:line="600" w:lineRule="exact"/>
        <w:ind w:firstLine="640" w:firstLineChars="200"/>
        <w:rPr>
          <w:rFonts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交子金融博物馆点位调研内容包括“裂纸为币”“交行天下”两个展厅。其中，“裂纸为币”展厅系统展示了世界上第一张纸币“交子”诞生在北宋成都的历史背景，以及交子发展演变的历程。“交行天下”展厅重点展示了交子的发行管理制度以及交子对后世纸币的影响。“千年传承”展厅为临展厅，主要聚焦交子诞生一千年举办一系列金融主题临展。</w:t>
      </w:r>
    </w:p>
    <w:p>
      <w:pPr>
        <w:spacing w:line="600" w:lineRule="exact"/>
        <w:ind w:firstLine="640" w:firstLineChars="200"/>
        <w:rPr>
          <w:rFonts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交子金融博物馆积极推动金融科普教育，联合驻蓉金融机构、中小学推出“交子说”线下研学活动以及“交子云观展”线上研学课程，持续举办金融主题宣讲，博物馆先后荣获“四川省十大陈列展览精品”“四川省金融教育示范基地”“四川省首批文博研学基地”“成都市党员教育基地”等10余项荣誉表彰。</w:t>
      </w:r>
    </w:p>
    <w:p>
      <w:pPr>
        <w:pStyle w:val="3"/>
        <w:spacing w:line="240" w:lineRule="auto"/>
        <w:rPr>
          <w:rFonts w:ascii="Times New Roman" w:hAnsi="Times New Roman" w:eastAsia="方正黑体_GBK" w:cs="方正黑体_GBK"/>
          <w:b/>
          <w:bCs/>
          <w:spacing w:val="-4"/>
          <w:sz w:val="32"/>
        </w:rPr>
      </w:pPr>
      <w:r>
        <w:rPr>
          <w:rFonts w:ascii="Times New Roman" w:hAnsi="Times New Roman" w:eastAsia="方正黑体_GBK" w:cs="方正黑体_GBK"/>
          <w:b/>
          <w:bCs/>
          <w:spacing w:val="-4"/>
          <w:sz w:val="32"/>
        </w:rPr>
        <w:drawing>
          <wp:inline distT="0" distB="0" distL="114300" distR="114300">
            <wp:extent cx="5267960" cy="2633345"/>
            <wp:effectExtent l="0" t="0" r="8890" b="14605"/>
            <wp:docPr id="3" name="图片 3" descr="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</w:rPr>
      </w:pPr>
      <w:r>
        <w:rPr>
          <w:rFonts w:hint="eastAsia" w:ascii="Times New Roman" w:hAnsi="Times New Roman" w:eastAsia="方正楷体_GBK" w:cs="方正楷体_GBK"/>
          <w:spacing w:val="-10"/>
          <w:kern w:val="0"/>
          <w:sz w:val="24"/>
          <w:shd w:val="clear" w:color="auto" w:fill="FFFFFF"/>
        </w:rPr>
        <w:t>交子金融博物馆宣传片</w:t>
      </w:r>
    </w:p>
    <w:p>
      <w:pPr>
        <w:pStyle w:val="3"/>
        <w:spacing w:line="240" w:lineRule="auto"/>
        <w:rPr>
          <w:rFonts w:ascii="Times New Roman" w:hAnsi="Times New Roman" w:eastAsia="方正黑体_GBK" w:cs="方正黑体_GBK"/>
          <w:b/>
          <w:bCs/>
          <w:spacing w:val="-4"/>
          <w:sz w:val="32"/>
        </w:rPr>
      </w:pP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270500" cy="3202305"/>
            <wp:effectExtent l="0" t="0" r="6350" b="17145"/>
            <wp:docPr id="11" name="图片 11" descr="/Users/zhaocongjing/Desktop/博物馆实景照片/IMG_7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zhaocongjing/Desktop/博物馆实景照片/IMG_74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0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</w:rPr>
      </w:pPr>
      <w:r>
        <w:rPr>
          <w:rFonts w:hint="eastAsia" w:ascii="Times New Roman" w:hAnsi="Times New Roman" w:eastAsia="方正楷体_GBK" w:cs="方正楷体_GBK"/>
          <w:spacing w:val="-10"/>
          <w:kern w:val="0"/>
          <w:sz w:val="24"/>
          <w:shd w:val="clear" w:color="auto" w:fill="FFFFFF"/>
        </w:rPr>
        <w:t>交子金融博物馆外景</w:t>
      </w: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273675" cy="3509010"/>
            <wp:effectExtent l="0" t="0" r="3175" b="15240"/>
            <wp:docPr id="4" name="图片 4" descr="d:\Users\admin\Desktop\QQ截图202211011246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Users\admin\Desktop\QQ截图2022110112461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方正楷体_GBK" w:cs="方正楷体_GBK"/>
          <w:spacing w:val="-10"/>
          <w:kern w:val="0"/>
          <w:sz w:val="24"/>
          <w:shd w:val="clear" w:color="auto" w:fill="FFFFFF"/>
        </w:rPr>
      </w:pPr>
      <w:r>
        <w:rPr>
          <w:rFonts w:hint="eastAsia" w:ascii="Times New Roman" w:hAnsi="Times New Roman" w:eastAsia="方正楷体_GBK" w:cs="方正楷体_GBK"/>
          <w:spacing w:val="-10"/>
          <w:kern w:val="0"/>
          <w:sz w:val="24"/>
          <w:shd w:val="clear" w:color="auto" w:fill="FFFFFF"/>
        </w:rPr>
        <w:t>交子金融博物馆第一展厅：裂纸为币</w:t>
      </w:r>
    </w:p>
    <w:p>
      <w:pPr>
        <w:pStyle w:val="3"/>
        <w:spacing w:line="240" w:lineRule="auto"/>
        <w:rPr>
          <w:rFonts w:ascii="Times New Roman" w:hAnsi="Times New Roman" w:eastAsia="方正黑体_GBK" w:cs="方正黑体_GBK"/>
          <w:b/>
          <w:bCs/>
          <w:spacing w:val="-4"/>
          <w:sz w:val="32"/>
        </w:rPr>
      </w:pP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262880" cy="2934335"/>
            <wp:effectExtent l="0" t="0" r="13970" b="18415"/>
            <wp:docPr id="2" name="图片 2" descr="d:\Users\admin\Desktop\QQ截图20221101122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Users\admin\Desktop\QQ截图2022110112251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方正楷体_GBK" w:cs="方正楷体_GBK"/>
          <w:spacing w:val="-10"/>
          <w:kern w:val="0"/>
          <w:sz w:val="24"/>
          <w:shd w:val="clear" w:color="auto" w:fill="FFFFFF"/>
        </w:rPr>
      </w:pPr>
      <w:r>
        <w:rPr>
          <w:rFonts w:hint="eastAsia" w:ascii="Times New Roman" w:hAnsi="Times New Roman" w:eastAsia="方正楷体_GBK" w:cs="方正楷体_GBK"/>
          <w:spacing w:val="-10"/>
          <w:kern w:val="0"/>
          <w:sz w:val="24"/>
          <w:shd w:val="clear" w:color="auto" w:fill="FFFFFF"/>
        </w:rPr>
        <w:t>交子金融博物馆第一展厅：裂纸为币</w:t>
      </w:r>
    </w:p>
    <w:p>
      <w:pPr>
        <w:jc w:val="center"/>
        <w:rPr>
          <w:rFonts w:ascii="Times New Roman" w:hAnsi="Times New Roman" w:eastAsia="方正楷体_GBK" w:cs="方正楷体_GBK"/>
          <w:spacing w:val="-10"/>
          <w:kern w:val="0"/>
          <w:sz w:val="24"/>
          <w:shd w:val="clear" w:color="auto" w:fill="FFFFFF"/>
        </w:rPr>
      </w:pPr>
    </w:p>
    <w:p>
      <w:pPr>
        <w:jc w:val="center"/>
        <w:rPr>
          <w:rFonts w:ascii="Times New Roman" w:hAnsi="Times New Roman" w:eastAsia="方正楷体_GBK" w:cs="方正楷体_GBK"/>
          <w:spacing w:val="-10"/>
          <w:kern w:val="0"/>
          <w:sz w:val="24"/>
          <w:shd w:val="clear" w:color="auto" w:fill="FFFFFF"/>
        </w:rPr>
      </w:pPr>
    </w:p>
    <w:p>
      <w:pPr>
        <w:jc w:val="center"/>
        <w:rPr>
          <w:rFonts w:ascii="Times New Roman" w:hAnsi="Times New Roman" w:eastAsia="方正楷体_GBK" w:cs="方正楷体_GBK"/>
          <w:spacing w:val="-10"/>
          <w:kern w:val="0"/>
          <w:sz w:val="24"/>
          <w:shd w:val="clear" w:color="auto" w:fill="FFFFFF"/>
        </w:rPr>
      </w:pPr>
    </w:p>
    <w:p>
      <w:pPr>
        <w:jc w:val="center"/>
        <w:rPr>
          <w:rFonts w:ascii="Times New Roman" w:hAnsi="Times New Roman" w:eastAsia="方正楷体_GBK" w:cs="方正楷体_GBK"/>
          <w:spacing w:val="-10"/>
          <w:kern w:val="0"/>
          <w:sz w:val="24"/>
          <w:shd w:val="clear" w:color="auto" w:fill="FFFFFF"/>
        </w:rPr>
      </w:pPr>
    </w:p>
    <w:p>
      <w:pPr>
        <w:jc w:val="center"/>
        <w:rPr>
          <w:rFonts w:ascii="Times New Roman" w:hAnsi="Times New Roman" w:eastAsia="方正楷体_GBK" w:cs="方正楷体_GBK"/>
          <w:spacing w:val="-10"/>
          <w:kern w:val="0"/>
          <w:sz w:val="24"/>
          <w:shd w:val="clear" w:color="auto" w:fill="FFFFFF"/>
        </w:rPr>
      </w:pPr>
    </w:p>
    <w:p>
      <w:pPr>
        <w:jc w:val="center"/>
        <w:rPr>
          <w:rFonts w:ascii="Times New Roman" w:hAnsi="Times New Roman" w:eastAsia="方正楷体_GBK" w:cs="方正楷体_GBK"/>
          <w:spacing w:val="-10"/>
          <w:kern w:val="0"/>
          <w:sz w:val="24"/>
          <w:shd w:val="clear" w:color="auto" w:fill="FFFFFF"/>
        </w:rPr>
      </w:pPr>
      <w:r>
        <w:rPr>
          <w:rFonts w:ascii="Times New Roman" w:hAnsi="Times New Roman" w:eastAsia="方正楷体_GBK" w:cs="方正楷体_GBK"/>
          <w:spacing w:val="-10"/>
          <w:kern w:val="0"/>
          <w:sz w:val="24"/>
          <w:shd w:val="clear" w:color="auto" w:fill="FFFFFF"/>
        </w:rPr>
        <w:drawing>
          <wp:inline distT="0" distB="0" distL="114300" distR="114300">
            <wp:extent cx="5241290" cy="2747010"/>
            <wp:effectExtent l="0" t="0" r="16510" b="15240"/>
            <wp:docPr id="12" name="图片 12" descr="_Z2A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_Z2A1635"/>
                    <pic:cNvPicPr>
                      <a:picLocks noChangeAspect="1"/>
                    </pic:cNvPicPr>
                  </pic:nvPicPr>
                  <pic:blipFill>
                    <a:blip r:embed="rId8"/>
                    <a:srcRect t="21356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27476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</w:rPr>
      </w:pPr>
      <w:r>
        <w:rPr>
          <w:rFonts w:hint="eastAsia" w:ascii="Times New Roman" w:hAnsi="Times New Roman" w:eastAsia="方正楷体_GBK" w:cs="方正楷体_GBK"/>
          <w:spacing w:val="-10"/>
          <w:kern w:val="0"/>
          <w:sz w:val="24"/>
          <w:shd w:val="clear" w:color="auto" w:fill="FFFFFF"/>
        </w:rPr>
        <w:t>交子金融博物馆第二展厅：交行天下</w:t>
      </w:r>
    </w:p>
    <w:p>
      <w:pPr>
        <w:pStyle w:val="3"/>
        <w:spacing w:line="240" w:lineRule="auto"/>
        <w:rPr>
          <w:rFonts w:ascii="Times New Roman" w:hAnsi="Times New Roman" w:eastAsia="方正黑体_GBK" w:cs="方正黑体_GBK"/>
          <w:b/>
          <w:bCs/>
          <w:spacing w:val="-4"/>
          <w:sz w:val="32"/>
        </w:rPr>
      </w:pPr>
    </w:p>
    <w:p>
      <w:pPr>
        <w:jc w:val="center"/>
        <w:rPr>
          <w:rFonts w:ascii="Times New Roman" w:hAnsi="Times New Roman" w:eastAsia="方正楷体_GBK" w:cs="方正楷体_GBK"/>
          <w:spacing w:val="-10"/>
          <w:kern w:val="0"/>
          <w:sz w:val="24"/>
          <w:shd w:val="clear" w:color="auto" w:fill="FFFFFF"/>
        </w:rPr>
      </w:pPr>
      <w:r>
        <w:rPr>
          <w:rFonts w:ascii="Times New Roman" w:hAnsi="Times New Roman" w:eastAsia="方正楷体_GBK" w:cs="方正楷体_GBK"/>
          <w:spacing w:val="-10"/>
          <w:kern w:val="0"/>
          <w:sz w:val="24"/>
          <w:shd w:val="clear" w:color="auto" w:fill="FFFFFF"/>
        </w:rPr>
        <w:drawing>
          <wp:inline distT="0" distB="0" distL="114300" distR="114300">
            <wp:extent cx="5254625" cy="3503295"/>
            <wp:effectExtent l="0" t="0" r="3175" b="1905"/>
            <wp:docPr id="13" name="图片 13" descr="_Z2A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_Z2A17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</w:rPr>
      </w:pPr>
      <w:r>
        <w:rPr>
          <w:rFonts w:hint="eastAsia" w:ascii="Times New Roman" w:hAnsi="Times New Roman" w:eastAsia="方正楷体_GBK" w:cs="方正楷体_GBK"/>
          <w:spacing w:val="-10"/>
          <w:kern w:val="0"/>
          <w:sz w:val="24"/>
          <w:shd w:val="clear" w:color="auto" w:fill="FFFFFF"/>
        </w:rPr>
        <w:t>交子金融博物馆第二展厅：交行天下</w:t>
      </w:r>
    </w:p>
    <w:p>
      <w:pPr>
        <w:spacing w:line="600" w:lineRule="exact"/>
        <w:outlineLvl w:val="1"/>
        <w:rPr>
          <w:rFonts w:hint="default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</w:pPr>
    </w:p>
    <w:p>
      <w:pPr>
        <w:spacing w:line="600" w:lineRule="exact"/>
        <w:outlineLvl w:val="2"/>
        <w:rPr>
          <w:rFonts w:hint="default" w:ascii="方正黑体_GBK" w:hAnsi="方正黑体_GBK" w:eastAsia="方正黑体_GBK" w:cs="方正黑体_GBK"/>
          <w:b w:val="0"/>
          <w:bCs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CN"/>
        </w:rPr>
        <w:t>关于世界上第一张纸币“交子”的学术讨论—成都共识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世界上最早的纸币——交子，出现在北宋时期的成都，且得到古今中外学者和专家认可，成为不争的事实。但对于交子诞生时间以及交子“真容”， 学术界亦是争议不断。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2023年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月24日-25日，由中国钱币学会主办，四川省钱币学会、成都交子金控集团协办，交子金融博物馆承办的“纪念纸币诞生1000年学术会议暨中国钱币学会学术年会”在成都召开。此次会议，来自全国钱币界、金融界的专家学者和会员代表近百名专家就交子诞生的时间、性质、意义等学界和社会关注的问题，进行专门研讨论证。通过与会代表广泛的讨论与求证，形成如下共识：</w:t>
      </w:r>
    </w:p>
    <w:p>
      <w:pPr>
        <w:spacing w:line="600" w:lineRule="exact"/>
        <w:ind w:firstLine="643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一是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诞生于北宋成都的交子是举世公认的世界上最早的纸币，是中国古代的一项伟大发明。千百年来，纸币的发明和使用与造纸术、印刷术、指南针、火药四大发明一样，在促进世界政治、经济、文化发展，推动人类文明进步方面起到了巨大作用，具有划时代意义。</w:t>
      </w:r>
    </w:p>
    <w:p>
      <w:pPr>
        <w:spacing w:line="600" w:lineRule="exact"/>
        <w:ind w:firstLine="643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二是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交子诞生日以益州交子务设立的时间为准，即天圣元年十一月二十八日（公历1024年1月12日）。</w:t>
      </w:r>
    </w:p>
    <w:p>
      <w:pPr>
        <w:spacing w:line="600" w:lineRule="exact"/>
        <w:ind w:firstLine="643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三是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传世的“千斯仓”版不是北宋交子印版，其真伪存疑。目前尚未发现公认的北宋交子及其印版实物。</w:t>
      </w:r>
    </w:p>
    <w:p>
      <w:pPr>
        <w:spacing w:line="600" w:lineRule="exact"/>
        <w:ind w:firstLine="643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四是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建议将纸币的发明列入中小学教材，与四大发明并列。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center"/>
        <w:textAlignment w:val="auto"/>
        <w:outlineLvl w:val="1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5008245" cy="3338830"/>
            <wp:effectExtent l="0" t="0" r="1905" b="13970"/>
            <wp:docPr id="8" name="图片 8" descr="f1c375e88954fff85b12467a0349c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1c375e88954fff85b12467a0349c7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824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 w:ascii="Times New Roman" w:hAnsi="Times New Roman" w:eastAsia="方正楷体_GBK" w:cs="方正楷体_GBK"/>
          <w:spacing w:val="-10"/>
          <w:kern w:val="0"/>
          <w:sz w:val="24"/>
          <w:shd w:val="clear" w:color="auto" w:fill="FFFFFF"/>
        </w:rPr>
        <w:t>纪念纸币诞生1000年学术会议暨中国钱币学会学术年会</w:t>
      </w:r>
    </w:p>
    <w:p>
      <w:pPr>
        <w:spacing w:line="600" w:lineRule="exact"/>
        <w:ind w:firstLine="640" w:firstLineChars="200"/>
        <w:outlineLvl w:val="1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</w:pPr>
    </w:p>
    <w:p>
      <w:pPr>
        <w:spacing w:line="600" w:lineRule="exact"/>
        <w:ind w:firstLine="640" w:firstLineChars="200"/>
        <w:outlineLvl w:val="1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</w:pPr>
    </w:p>
    <w:p>
      <w:pPr>
        <w:spacing w:line="600" w:lineRule="exact"/>
        <w:ind w:firstLine="640" w:firstLineChars="200"/>
        <w:outlineLvl w:val="1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</w:pPr>
    </w:p>
    <w:p>
      <w:pPr>
        <w:spacing w:line="600" w:lineRule="exact"/>
        <w:ind w:firstLine="640" w:firstLineChars="200"/>
        <w:outlineLvl w:val="1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</w:pPr>
    </w:p>
    <w:p>
      <w:pPr>
        <w:spacing w:line="600" w:lineRule="exact"/>
        <w:ind w:firstLine="640" w:firstLineChars="200"/>
        <w:outlineLvl w:val="1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</w:pPr>
    </w:p>
    <w:p>
      <w:pPr>
        <w:spacing w:line="600" w:lineRule="exact"/>
        <w:ind w:firstLine="640" w:firstLineChars="200"/>
        <w:outlineLvl w:val="1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</w:pPr>
    </w:p>
    <w:p>
      <w:pPr>
        <w:spacing w:line="600" w:lineRule="exact"/>
        <w:ind w:firstLine="640" w:firstLineChars="200"/>
        <w:outlineLvl w:val="1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</w:pPr>
    </w:p>
    <w:p>
      <w:pPr>
        <w:spacing w:line="600" w:lineRule="exact"/>
        <w:ind w:firstLine="640" w:firstLineChars="200"/>
        <w:outlineLvl w:val="1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</w:pPr>
    </w:p>
    <w:p>
      <w:pPr>
        <w:spacing w:line="600" w:lineRule="exact"/>
        <w:ind w:firstLine="640" w:firstLineChars="200"/>
        <w:outlineLvl w:val="1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</w:pPr>
    </w:p>
    <w:p>
      <w:pPr>
        <w:spacing w:line="600" w:lineRule="exact"/>
        <w:ind w:firstLine="640" w:firstLineChars="200"/>
        <w:outlineLvl w:val="1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</w:pPr>
    </w:p>
    <w:p>
      <w:pPr>
        <w:spacing w:line="600" w:lineRule="exact"/>
        <w:ind w:firstLine="640" w:firstLineChars="200"/>
        <w:outlineLvl w:val="1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</w:pPr>
    </w:p>
    <w:p>
      <w:pPr>
        <w:spacing w:line="600" w:lineRule="exact"/>
        <w:ind w:firstLine="640" w:firstLineChars="200"/>
        <w:outlineLvl w:val="1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</w:pPr>
    </w:p>
    <w:p>
      <w:pPr>
        <w:spacing w:line="600" w:lineRule="exact"/>
        <w:ind w:firstLine="640" w:firstLineChars="200"/>
        <w:outlineLvl w:val="1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</w:pPr>
    </w:p>
    <w:p>
      <w:pPr>
        <w:spacing w:line="600" w:lineRule="exact"/>
        <w:ind w:firstLine="640" w:firstLineChars="200"/>
        <w:outlineLvl w:val="1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  <w:t>关于官交子形制</w:t>
      </w:r>
    </w:p>
    <w:p>
      <w:pPr>
        <w:spacing w:line="600" w:lineRule="exact"/>
        <w:ind w:firstLine="640" w:firstLineChars="200"/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初期交子票样主要包括以下四个特点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必须符合以下特点，未作详细规定的在规定范围内自行发挥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）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：</w:t>
      </w:r>
    </w:p>
    <w:p>
      <w:pPr>
        <w:spacing w:line="600" w:lineRule="exact"/>
        <w:ind w:firstLine="640" w:firstLineChars="200"/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一是交子使用同样的纸张印造而成；</w:t>
      </w:r>
    </w:p>
    <w:p>
      <w:pPr>
        <w:spacing w:line="600" w:lineRule="exact"/>
        <w:ind w:firstLine="640" w:firstLineChars="200"/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二是交子印有当时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北宋1024年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）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的屋木人物图案；</w:t>
      </w:r>
    </w:p>
    <w:p>
      <w:pPr>
        <w:spacing w:line="600" w:lineRule="exact"/>
        <w:ind w:firstLine="640" w:firstLineChars="200"/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三是题有发行者各自的记号，并盖有其私印；</w:t>
      </w:r>
    </w:p>
    <w:p>
      <w:pPr>
        <w:spacing w:line="600" w:lineRule="exact"/>
        <w:ind w:firstLine="640" w:firstLineChars="200"/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四是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采用朱、墨两色印制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。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除四个特点以外，票面尺寸要求按照长29.1厘米，宽21厘米进行设计。</w:t>
      </w:r>
    </w:p>
    <w:p>
      <w:pPr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</w:rPr>
        <w:t>天圣元年，益州交子务建立后发行的交子，票面样式与私交子大体相同，但也有不同之处。官交子的图案在承袭私交子的基础上有所改变，交子票面上的私人印记被“益州交子务印”“益州观察使印”等官印所代替。为防止伪造，官交子票面上还题有“字号”，或盖有发行交子的“合同（印章）”。</w:t>
      </w:r>
    </w:p>
    <w:p>
      <w:pPr>
        <w:spacing w:line="600" w:lineRule="exact"/>
        <w:outlineLvl w:val="1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楷体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早期交子采用朱、墨两色印制。</w:t>
      </w:r>
    </w:p>
    <w:p>
      <w:pPr>
        <w:spacing w:line="600" w:lineRule="exact"/>
        <w:ind w:firstLine="562" w:firstLineChars="200"/>
        <w:outlineLvl w:val="1"/>
        <w:rPr>
          <w:rFonts w:hint="eastAsia" w:ascii="方正仿宋_GBK" w:hAnsi="方正仿宋_GBK" w:eastAsia="方正仿宋_GBK" w:cs="方正仿宋_GBK"/>
          <w:b/>
          <w:bCs/>
          <w:sz w:val="28"/>
          <w:szCs w:val="28"/>
        </w:rPr>
      </w:pPr>
    </w:p>
    <w:p>
      <w:pPr>
        <w:spacing w:line="600" w:lineRule="exact"/>
        <w:ind w:firstLine="562" w:firstLineChars="200"/>
        <w:outlineLvl w:val="1"/>
        <w:rPr>
          <w:rFonts w:hint="eastAsia" w:ascii="方正仿宋_GBK" w:hAnsi="方正仿宋_GBK" w:eastAsia="方正仿宋_GBK" w:cs="方正仿宋_GBK"/>
          <w:b/>
          <w:bCs/>
          <w:sz w:val="28"/>
          <w:szCs w:val="28"/>
        </w:rPr>
      </w:pPr>
    </w:p>
    <w:p>
      <w:pPr>
        <w:spacing w:line="600" w:lineRule="exact"/>
        <w:ind w:firstLine="562" w:firstLineChars="200"/>
        <w:outlineLvl w:val="1"/>
        <w:rPr>
          <w:rFonts w:hint="eastAsia" w:ascii="方正仿宋_GBK" w:hAnsi="方正仿宋_GBK" w:eastAsia="方正仿宋_GBK" w:cs="方正仿宋_GBK"/>
          <w:b/>
          <w:bCs/>
          <w:sz w:val="28"/>
          <w:szCs w:val="28"/>
        </w:rPr>
      </w:pPr>
    </w:p>
    <w:p>
      <w:pPr>
        <w:spacing w:line="600" w:lineRule="exact"/>
        <w:ind w:firstLine="562" w:firstLineChars="200"/>
        <w:outlineLvl w:val="1"/>
        <w:rPr>
          <w:rFonts w:hint="eastAsia" w:ascii="方正仿宋_GBK" w:hAnsi="方正仿宋_GBK" w:eastAsia="方正仿宋_GBK" w:cs="方正仿宋_GBK"/>
          <w:b/>
          <w:bCs/>
          <w:sz w:val="28"/>
          <w:szCs w:val="28"/>
        </w:rPr>
      </w:pPr>
    </w:p>
    <w:p>
      <w:pPr>
        <w:pStyle w:val="2"/>
        <w:rPr>
          <w:rFonts w:hint="eastAsia" w:ascii="方正仿宋_GBK" w:hAnsi="方正仿宋_GBK" w:eastAsia="方正仿宋_GBK" w:cs="方正仿宋_GBK"/>
          <w:b/>
          <w:bCs/>
          <w:sz w:val="28"/>
          <w:szCs w:val="28"/>
        </w:rPr>
      </w:pPr>
    </w:p>
    <w:p>
      <w:pPr>
        <w:rPr>
          <w:rFonts w:hint="eastAsia"/>
        </w:rPr>
      </w:pPr>
    </w:p>
    <w:p>
      <w:pPr>
        <w:spacing w:line="600" w:lineRule="exact"/>
        <w:outlineLvl w:val="1"/>
        <w:rPr>
          <w:rFonts w:hint="eastAsia" w:ascii="方正仿宋_GBK" w:hAnsi="方正仿宋_GBK" w:eastAsia="方正仿宋_GBK" w:cs="方正仿宋_GBK"/>
          <w:b/>
          <w:bCs/>
          <w:sz w:val="28"/>
          <w:szCs w:val="28"/>
        </w:rPr>
      </w:pPr>
    </w:p>
    <w:p>
      <w:pPr>
        <w:spacing w:line="600" w:lineRule="exact"/>
        <w:ind w:firstLine="640" w:firstLineChars="200"/>
        <w:outlineLvl w:val="1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  <w:t>关于</w:t>
      </w: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  <w:t>益州交子务</w:t>
      </w:r>
    </w:p>
    <w:p>
      <w:pPr>
        <w:spacing w:line="600" w:lineRule="exact"/>
        <w:ind w:firstLine="640" w:firstLineChars="200"/>
        <w:outlineLvl w:val="1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北宋仁宗天圣元年（1023年）十一月，在时任益州知州薛田、转运使张若谷等人的倡议下，朝廷在成都设立了益州交子务，并安排二人主持交子的印制、发行、兑换和防伪等工作，世界上最早的纸币管理机构由此诞生。益州交子务的监管长官，由知州保荐的一名在京官员担任，其发行和收兑交子需接受知州的领导和监督，因此交子务实际上接受着中央和地方的双重管辖。最初，益州交子务的监官设一人，后为加强防范、相互监督，元丰元年（1078年）有增至两人。关于交子务初期设置官吏和工匠的具体信息，记载较少，但根据元代费著《褚币谱》中的记载，到北宋后期交子务改为钱引时，交子务人数已多达182人。这甚至超过了当时宋朝州级政府机构的编制人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center"/>
        <w:textAlignment w:val="auto"/>
        <w:outlineLvl w:val="1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4227195" cy="4227195"/>
            <wp:effectExtent l="0" t="0" r="1905" b="1905"/>
            <wp:docPr id="5" name="图片 5" descr="e7de2bdd2b463ce29c55917aef8c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7de2bdd2b463ce29c55917aef8c8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27195" cy="422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方正楷体_GBK"/>
          <w:lang w:val="en-US" w:eastAsia="zh-CN"/>
        </w:rPr>
      </w:pPr>
      <w:r>
        <w:rPr>
          <w:rFonts w:hint="eastAsia" w:ascii="Times New Roman" w:hAnsi="Times New Roman" w:eastAsia="方正楷体_GBK" w:cs="方正楷体_GBK"/>
          <w:spacing w:val="-10"/>
          <w:kern w:val="0"/>
          <w:sz w:val="24"/>
          <w:shd w:val="clear" w:color="auto" w:fill="FFFFFF"/>
        </w:rPr>
        <w:t>交子金融博物馆</w:t>
      </w:r>
      <w:r>
        <w:rPr>
          <w:rFonts w:hint="eastAsia" w:ascii="Times New Roman" w:hAnsi="Times New Roman" w:eastAsia="方正楷体_GBK" w:cs="方正楷体_GBK"/>
          <w:spacing w:val="-10"/>
          <w:kern w:val="0"/>
          <w:sz w:val="24"/>
          <w:shd w:val="clear" w:color="auto" w:fill="FFFFFF"/>
          <w:lang w:val="en-US" w:eastAsia="zh-CN"/>
        </w:rPr>
        <w:t>艺术创作</w:t>
      </w:r>
      <w:r>
        <w:rPr>
          <w:rFonts w:hint="eastAsia" w:ascii="Times New Roman" w:hAnsi="Times New Roman" w:eastAsia="方正楷体_GBK" w:cs="方正楷体_GBK"/>
          <w:spacing w:val="-10"/>
          <w:kern w:val="0"/>
          <w:sz w:val="24"/>
          <w:shd w:val="clear" w:color="auto" w:fill="FFFFFF"/>
        </w:rPr>
        <w:t>：</w:t>
      </w:r>
      <w:r>
        <w:rPr>
          <w:rFonts w:hint="eastAsia" w:ascii="Times New Roman" w:hAnsi="Times New Roman" w:eastAsia="方正楷体_GBK" w:cs="方正楷体_GBK"/>
          <w:spacing w:val="-10"/>
          <w:kern w:val="0"/>
          <w:sz w:val="24"/>
          <w:shd w:val="clear" w:color="auto" w:fill="FFFFFF"/>
          <w:lang w:val="en-US" w:eastAsia="zh-CN"/>
        </w:rPr>
        <w:t>益州交子务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center"/>
        <w:textAlignment w:val="auto"/>
        <w:outlineLvl w:val="2"/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eastAsia="zh-CN"/>
        </w:rPr>
      </w:pP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eastAsia="zh-CN"/>
        </w:rPr>
        <w:drawing>
          <wp:inline distT="0" distB="0" distL="114300" distR="114300">
            <wp:extent cx="2044700" cy="2607310"/>
            <wp:effectExtent l="0" t="0" r="12700" b="2540"/>
            <wp:docPr id="6" name="图片 6" descr="图3-6 薛田画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3-6 薛田画像图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eastAsia="zh-CN"/>
        </w:rPr>
        <w:drawing>
          <wp:inline distT="0" distB="0" distL="114300" distR="114300">
            <wp:extent cx="1846580" cy="2497455"/>
            <wp:effectExtent l="0" t="0" r="1270" b="17145"/>
            <wp:docPr id="7" name="图片 7" descr="图3-7 张若谷画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3-7 张若谷画像图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 New Roman" w:hAnsi="Times New Roman" w:eastAsia="方正楷体_GBK" w:cs="方正楷体_GBK"/>
          <w:spacing w:val="-10"/>
          <w:kern w:val="0"/>
          <w:sz w:val="24"/>
          <w:shd w:val="clear" w:color="auto" w:fill="FFFFFF"/>
          <w:lang w:val="en-US" w:eastAsia="zh-CN"/>
        </w:rPr>
      </w:pPr>
      <w:r>
        <w:rPr>
          <w:rFonts w:hint="eastAsia" w:ascii="Times New Roman" w:hAnsi="Times New Roman" w:eastAsia="方正楷体_GBK" w:cs="方正楷体_GBK"/>
          <w:spacing w:val="-10"/>
          <w:kern w:val="0"/>
          <w:sz w:val="24"/>
          <w:shd w:val="clear" w:color="auto" w:fill="FFFFFF"/>
        </w:rPr>
        <w:t>交子金融博物馆</w:t>
      </w:r>
      <w:r>
        <w:rPr>
          <w:rFonts w:hint="eastAsia" w:ascii="Times New Roman" w:hAnsi="Times New Roman" w:eastAsia="方正楷体_GBK" w:cs="方正楷体_GBK"/>
          <w:spacing w:val="-10"/>
          <w:kern w:val="0"/>
          <w:sz w:val="24"/>
          <w:shd w:val="clear" w:color="auto" w:fill="FFFFFF"/>
          <w:lang w:val="en-US" w:eastAsia="zh-CN"/>
        </w:rPr>
        <w:t>艺术创作</w:t>
      </w:r>
      <w:r>
        <w:rPr>
          <w:rFonts w:hint="eastAsia" w:ascii="Times New Roman" w:hAnsi="Times New Roman" w:eastAsia="方正楷体_GBK" w:cs="方正楷体_GBK"/>
          <w:spacing w:val="-10"/>
          <w:kern w:val="0"/>
          <w:sz w:val="24"/>
          <w:shd w:val="clear" w:color="auto" w:fill="FFFFFF"/>
        </w:rPr>
        <w:t>：</w:t>
      </w:r>
      <w:r>
        <w:rPr>
          <w:rFonts w:hint="eastAsia" w:ascii="Times New Roman" w:hAnsi="Times New Roman" w:eastAsia="方正楷体_GBK" w:cs="方正楷体_GBK"/>
          <w:spacing w:val="-10"/>
          <w:kern w:val="0"/>
          <w:sz w:val="24"/>
          <w:shd w:val="clear" w:color="auto" w:fill="FFFFFF"/>
          <w:lang w:val="en-US" w:eastAsia="zh-CN"/>
        </w:rPr>
        <w:t>薛田（左）及张若谷（右）</w:t>
      </w:r>
    </w:p>
    <w:p>
      <w:pPr>
        <w:pStyle w:val="2"/>
        <w:rPr>
          <w:rFonts w:hint="eastAsia" w:ascii="Times New Roman" w:hAnsi="Times New Roman" w:eastAsia="方正楷体_GBK" w:cs="方正楷体_GBK"/>
          <w:spacing w:val="-10"/>
          <w:kern w:val="0"/>
          <w:sz w:val="24"/>
          <w:shd w:val="clear" w:color="auto" w:fill="FFFFFF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spacing w:line="600" w:lineRule="exact"/>
        <w:ind w:firstLine="640" w:firstLineChars="200"/>
        <w:outlineLvl w:val="2"/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</w:rPr>
        <w:t>古代历史文献中对官交子形制的记载</w:t>
      </w:r>
    </w:p>
    <w:p>
      <w:pPr>
        <w:spacing w:line="600" w:lineRule="exact"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“其交子一依</w:t>
      </w:r>
      <w:r>
        <w:rPr>
          <w:rFonts w:hint="eastAsia" w:ascii="方正仿宋_GBK" w:hAnsi="方正仿宋_GBK" w:eastAsia="方正仿宋_GBK" w:cs="方正仿宋_GBK"/>
          <w:sz w:val="32"/>
          <w:szCs w:val="32"/>
          <w:u w:val="single"/>
        </w:rPr>
        <w:t>自来百姓出给者阔狭大小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  <w:u w:val="single"/>
        </w:rPr>
        <w:t>仍使本州铜印印讫。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”</w:t>
      </w:r>
    </w:p>
    <w:p>
      <w:pPr>
        <w:spacing w:line="600" w:lineRule="exact"/>
        <w:ind w:right="1" w:firstLine="640" w:firstLineChars="200"/>
        <w:jc w:val="right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 xml:space="preserve"> ——李攸（宋）《宋朝事实》券一五《财用》</w:t>
      </w:r>
    </w:p>
    <w:p>
      <w:pPr>
        <w:spacing w:line="600" w:lineRule="exact"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“仍乞铸</w:t>
      </w:r>
      <w:r>
        <w:rPr>
          <w:rFonts w:hint="eastAsia" w:ascii="方正仿宋_GBK" w:hAnsi="方正仿宋_GBK" w:eastAsia="方正仿宋_GBK" w:cs="方正仿宋_GBK"/>
          <w:sz w:val="32"/>
          <w:szCs w:val="32"/>
          <w:u w:val="single"/>
        </w:rPr>
        <w:t>益州交子务铜印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一面，降下益州，付本务行使，仍使</w:t>
      </w:r>
      <w:r>
        <w:rPr>
          <w:rFonts w:hint="eastAsia" w:ascii="方正仿宋_GBK" w:hAnsi="方正仿宋_GBK" w:eastAsia="方正仿宋_GBK" w:cs="方正仿宋_GBK"/>
          <w:sz w:val="32"/>
          <w:szCs w:val="32"/>
          <w:u w:val="single"/>
        </w:rPr>
        <w:t>益州观察使印记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，仍起起置簿历，逐道交子</w:t>
      </w:r>
      <w:r>
        <w:rPr>
          <w:rFonts w:hint="eastAsia" w:ascii="方正仿宋_GBK" w:hAnsi="方正仿宋_GBK" w:eastAsia="方正仿宋_GBK" w:cs="方正仿宋_GBK"/>
          <w:sz w:val="32"/>
          <w:szCs w:val="32"/>
          <w:u w:val="single"/>
        </w:rPr>
        <w:t>上书出钱数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，自一贯至十贯文，</w:t>
      </w:r>
      <w:r>
        <w:rPr>
          <w:rFonts w:hint="eastAsia" w:ascii="方正仿宋_GBK" w:hAnsi="方正仿宋_GBK" w:eastAsia="方正仿宋_GBK" w:cs="方正仿宋_GBK"/>
          <w:sz w:val="32"/>
          <w:szCs w:val="32"/>
          <w:u w:val="single"/>
        </w:rPr>
        <w:t>合用印过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，上簿封押。”</w:t>
      </w:r>
    </w:p>
    <w:p>
      <w:pPr>
        <w:spacing w:line="600" w:lineRule="exact"/>
        <w:ind w:right="321" w:firstLine="640" w:firstLineChars="200"/>
        <w:jc w:val="right"/>
        <w:rPr>
          <w:rFonts w:hint="eastAsia"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——李攸（宋）《宋朝事实》券一五《财用》</w:t>
      </w:r>
    </w:p>
    <w:p>
      <w:pPr>
        <w:spacing w:line="600" w:lineRule="exact"/>
        <w:ind w:firstLine="562" w:firstLineChars="200"/>
        <w:outlineLvl w:val="2"/>
        <w:rPr>
          <w:rFonts w:hint="eastAsia" w:ascii="方正仿宋_GBK" w:hAnsi="方正仿宋_GBK" w:eastAsia="方正仿宋_GBK" w:cs="方正仿宋_GBK"/>
          <w:b/>
          <w:sz w:val="28"/>
          <w:szCs w:val="28"/>
        </w:rPr>
      </w:pPr>
    </w:p>
    <w:p>
      <w:pPr>
        <w:spacing w:line="600" w:lineRule="exact"/>
        <w:ind w:firstLine="640" w:firstLineChars="200"/>
        <w:outlineLvl w:val="2"/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</w:rPr>
        <w:t>当代学术著作中对官交子形制的记载</w:t>
      </w:r>
    </w:p>
    <w:p>
      <w:pPr>
        <w:spacing w:line="600" w:lineRule="exact"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“</w:t>
      </w:r>
      <w:r>
        <w:rPr>
          <w:rFonts w:hint="eastAsia" w:ascii="方正仿宋_GBK" w:hAnsi="方正仿宋_GBK" w:eastAsia="方正仿宋_GBK" w:cs="方正仿宋_GBK"/>
          <w:sz w:val="32"/>
          <w:szCs w:val="32"/>
          <w:u w:val="single"/>
        </w:rPr>
        <w:t>官交子的形制，大概和私交子差不多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，……所同的只是大小和一部分图案，劵上的文字不一定相同，官交子可以规定流通的范围和兑钱的数目，因为宋代史以七百七十文为一贯的。</w:t>
      </w:r>
      <w:r>
        <w:rPr>
          <w:rFonts w:hint="eastAsia" w:ascii="方正仿宋_GBK" w:hAnsi="方正仿宋_GBK" w:eastAsia="方正仿宋_GBK" w:cs="方正仿宋_GBK"/>
          <w:sz w:val="32"/>
          <w:szCs w:val="32"/>
          <w:u w:val="single"/>
        </w:rPr>
        <w:t>劵面大概还是不印交子的字样，金额也还是临时填写。不过有一定的等级。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”</w:t>
      </w:r>
    </w:p>
    <w:p>
      <w:pPr>
        <w:spacing w:line="600" w:lineRule="exact"/>
        <w:ind w:firstLine="640" w:firstLineChars="200"/>
        <w:jc w:val="right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——彭信威《中国货币史》P476</w:t>
      </w:r>
    </w:p>
    <w:p>
      <w:pPr>
        <w:spacing w:line="600" w:lineRule="exact"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“私交子由民间发行之时，印制的纸张相同，</w:t>
      </w:r>
      <w:r>
        <w:rPr>
          <w:rFonts w:hint="eastAsia" w:ascii="方正仿宋_GBK" w:hAnsi="方正仿宋_GBK" w:eastAsia="方正仿宋_GBK" w:cs="方正仿宋_GBK"/>
          <w:sz w:val="32"/>
          <w:szCs w:val="32"/>
          <w:u w:val="single"/>
        </w:rPr>
        <w:t>所印图案有人物、房屋、草木，不同发行者在票面上有密码和暗记，红黑两色相间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，以为分别。</w:t>
      </w:r>
      <w:r>
        <w:rPr>
          <w:rFonts w:hint="eastAsia" w:ascii="方正仿宋_GBK" w:hAnsi="方正仿宋_GBK" w:eastAsia="方正仿宋_GBK" w:cs="方正仿宋_GBK"/>
          <w:sz w:val="32"/>
          <w:szCs w:val="32"/>
          <w:u w:val="single"/>
        </w:rPr>
        <w:t>官交子最初发行时，基本上是仿造交子形制，在票面上加盖本州州印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。”</w:t>
      </w:r>
    </w:p>
    <w:p>
      <w:pPr>
        <w:spacing w:line="600" w:lineRule="exact"/>
        <w:ind w:firstLine="640" w:firstLineChars="200"/>
        <w:jc w:val="right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——王纪洁《中国古代物质文化史（上）》P292</w:t>
      </w:r>
    </w:p>
    <w:p>
      <w:pPr>
        <w:spacing w:line="600" w:lineRule="exact"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“天圣元年，益州官交子务建立后发行的交子，票面式样与私交子大体相同。不同的是，其图案或有变异，官</w:t>
      </w:r>
      <w:r>
        <w:rPr>
          <w:rFonts w:hint="eastAsia" w:ascii="方正仿宋_GBK" w:hAnsi="方正仿宋_GBK" w:eastAsia="方正仿宋_GBK" w:cs="方正仿宋_GBK"/>
          <w:sz w:val="32"/>
          <w:szCs w:val="32"/>
          <w:u w:val="single"/>
        </w:rPr>
        <w:t>交子票面上的私人印记被‘益州交子务印’‘益州观察使印’所代替。为防止伪造，官交子票面上还题有‘字号”，或盖有发行交子的‘合同（印章）’。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”</w:t>
      </w:r>
    </w:p>
    <w:p>
      <w:pPr>
        <w:spacing w:line="600" w:lineRule="exact"/>
        <w:ind w:firstLine="640" w:firstLineChars="200"/>
        <w:jc w:val="right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——刘森《宋金纸币史》P16</w:t>
      </w:r>
    </w:p>
    <w:p>
      <w:pPr>
        <w:spacing w:line="600" w:lineRule="exact"/>
        <w:ind w:firstLine="5325" w:firstLineChars="1902"/>
        <w:jc w:val="left"/>
        <w:rPr>
          <w:rFonts w:hint="eastAsia" w:ascii="方正仿宋_GBK" w:hAnsi="方正仿宋_GBK" w:eastAsia="方正仿宋_GBK" w:cs="方正仿宋_GBK"/>
          <w:bCs/>
          <w:sz w:val="28"/>
          <w:szCs w:val="28"/>
          <w:lang w:val="en-US" w:eastAsia="zh-CN"/>
        </w:rPr>
      </w:pPr>
    </w:p>
    <w:p/>
    <w:p/>
    <w:p>
      <w:pPr>
        <w:spacing w:line="600" w:lineRule="exact"/>
        <w:outlineLvl w:val="2"/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CN"/>
        </w:rPr>
        <w:t>关于宋代成都</w:t>
      </w:r>
    </w:p>
    <w:p>
      <w:pPr>
        <w:adjustRightInd/>
        <w:snapToGrid/>
        <w:spacing w:before="0" w:beforeLines="0" w:line="600" w:lineRule="exact"/>
        <w:ind w:firstLine="640" w:firstLineChars="200"/>
        <w:rPr>
          <w:rFonts w:hint="eastAsia" w:ascii="方正仿宋_GBK" w:hAnsi="方正仿宋_GBK" w:eastAsia="方正仿宋_GBK" w:cs="方正仿宋_GBK"/>
          <w:sz w:val="32"/>
          <w:szCs w:val="28"/>
          <w:shd w:val="clear" w:color="auto" w:fill="FFFFFF"/>
        </w:rPr>
      </w:pPr>
      <w:r>
        <w:rPr>
          <w:rFonts w:hint="eastAsia" w:ascii="方正仿宋_GBK" w:hAnsi="方正仿宋_GBK" w:eastAsia="方正仿宋_GBK" w:cs="方正仿宋_GBK"/>
          <w:sz w:val="32"/>
          <w:szCs w:val="28"/>
          <w:shd w:val="clear" w:color="auto" w:fill="FFFFFF"/>
        </w:rPr>
        <w:t>交子在北宋成都诞生，可谓大时代与小地区的因缘巧合。“华夏民族之文化，历数千载之演进，造极于赵宋之世”，在两宋统治的三百年中，我国经济、文化的发展，居于世界最前列。而当时的成都，沃野千里，物产丰富，商旅云集，商业信用发展到了全新高度，加之造纸印刷技术的精进，为“交子”的诞生奠定了基础。</w:t>
      </w:r>
    </w:p>
    <w:p>
      <w:pPr>
        <w:widowControl w:val="0"/>
        <w:adjustRightInd/>
        <w:snapToGrid/>
        <w:spacing w:before="0" w:beforeLines="0" w:line="240" w:lineRule="auto"/>
        <w:ind w:firstLine="640" w:firstLineChars="200"/>
        <w:rPr>
          <w:rFonts w:hint="default" w:ascii="Times New Roman" w:hAnsi="Times New Roman" w:eastAsia="方正仿宋_GBK" w:cs="Times New Roman"/>
          <w:sz w:val="32"/>
          <w:szCs w:val="28"/>
          <w:shd w:val="clear" w:color="auto" w:fill="FFFFFF"/>
        </w:rPr>
      </w:pPr>
      <w:r>
        <w:rPr>
          <w:rFonts w:hint="default" w:ascii="Times New Roman" w:hAnsi="Times New Roman" w:eastAsia="方正仿宋_GBK" w:cs="Times New Roman"/>
          <w:sz w:val="32"/>
          <w:szCs w:val="28"/>
          <w:shd w:val="clear" w:color="auto" w:fill="FFFFFF"/>
        </w:rPr>
        <w:t>“扬一益二”是唐代对两个最大、最繁荣的经济都会的评价。“扬”指长江下游的扬州，“益”指长江上游的益州（即成都）。宋代文学家洪迈在其《容斋随笔》中写道：</w:t>
      </w:r>
    </w:p>
    <w:p>
      <w:pPr>
        <w:widowControl w:val="0"/>
        <w:adjustRightInd/>
        <w:snapToGrid/>
        <w:spacing w:before="0" w:beforeLines="0" w:line="240" w:lineRule="auto"/>
        <w:ind w:firstLine="640" w:firstLineChars="200"/>
        <w:rPr>
          <w:rFonts w:hint="default" w:ascii="Times New Roman" w:hAnsi="Times New Roman" w:eastAsia="方正仿宋_GBK" w:cs="Times New Roman"/>
          <w:sz w:val="32"/>
          <w:szCs w:val="28"/>
          <w:shd w:val="clear" w:color="auto" w:fill="FFFFFF"/>
        </w:rPr>
      </w:pPr>
      <w:r>
        <w:rPr>
          <w:rFonts w:hint="default" w:ascii="Times New Roman" w:hAnsi="Times New Roman" w:eastAsia="方正仿宋_GBK" w:cs="Times New Roman"/>
          <w:sz w:val="32"/>
          <w:szCs w:val="28"/>
          <w:shd w:val="clear" w:color="auto" w:fill="FFFFFF"/>
        </w:rPr>
        <w:t>“唐世盐铁转运使在扬州，尽斡利权，判官多至数十人，商贾如织。故谚称‘扬一益二’，谓天下之盛，扬为一而蜀次之也。”</w:t>
      </w:r>
      <w:r>
        <w:rPr>
          <w:rStyle w:val="8"/>
          <w:rFonts w:hint="default" w:ascii="Times New Roman" w:hAnsi="Times New Roman" w:eastAsia="方正仿宋_GBK" w:cs="Times New Roman"/>
          <w:sz w:val="20"/>
          <w:szCs w:val="28"/>
          <w:shd w:val="clear" w:color="auto" w:fill="FFFFFF"/>
        </w:rPr>
        <w:t xml:space="preserve"> </w:t>
      </w:r>
    </w:p>
    <w:p>
      <w:pPr>
        <w:widowControl w:val="0"/>
        <w:adjustRightInd/>
        <w:snapToGrid/>
        <w:spacing w:before="0" w:beforeLines="0" w:line="240" w:lineRule="auto"/>
        <w:ind w:firstLine="640" w:firstLineChars="200"/>
        <w:rPr>
          <w:rFonts w:hint="default" w:ascii="Times New Roman" w:hAnsi="Times New Roman" w:eastAsia="方正仿宋_GBK" w:cs="Times New Roman"/>
          <w:sz w:val="32"/>
          <w:szCs w:val="28"/>
          <w:shd w:val="clear" w:color="auto" w:fill="FFFFFF"/>
        </w:rPr>
      </w:pPr>
      <w:r>
        <w:rPr>
          <w:rFonts w:hint="default" w:ascii="Times New Roman" w:hAnsi="Times New Roman" w:eastAsia="方正仿宋_GBK" w:cs="Times New Roman"/>
          <w:sz w:val="32"/>
          <w:szCs w:val="28"/>
          <w:shd w:val="clear" w:color="auto" w:fill="FFFFFF"/>
        </w:rPr>
        <w:t>成都之所以在唐代与扬州齐名，成为闻名天下的繁荣都会，与其偏安一隅的地缘格局密不可分。在隋末唐初的战乱中，“时天下饥乱，惟蜀中丰静”</w:t>
      </w:r>
      <w:r>
        <w:rPr>
          <w:rStyle w:val="8"/>
          <w:rFonts w:hint="default" w:ascii="Times New Roman" w:hAnsi="Times New Roman" w:eastAsia="方正仿宋_GBK" w:cs="Times New Roman"/>
          <w:sz w:val="20"/>
          <w:szCs w:val="28"/>
          <w:shd w:val="clear" w:color="auto" w:fill="FFFFFF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28"/>
          <w:shd w:val="clear" w:color="auto" w:fill="FFFFFF"/>
        </w:rPr>
        <w:t>，四川地区由于未受战乱影响，经济得以持续发展，人口增长迅速。贞观十三年（639年），成都有11.7万户、74万人，人口规模仅次于当时的都城长安（10.7万户，94万人）。而彼时的扬州由于受到战乱影响，仅有3.2万户，9万余人，人口规模仅排在当时全国各府州的第29位，远远落后于成都。直到唐中后期，安史之乱使北方经济再次遭受重创，全国经济中心南移，以江淮一带最为富庶，有“当今赋出干天下，江南居十九”的说法。而扬州由于其重要的交通枢纽地位，才成为“雄富冠天下”的经济中心，成就了“扬一益二”的美誉。</w:t>
      </w:r>
    </w:p>
    <w:p>
      <w:pPr>
        <w:rPr>
          <w:rFonts w:hint="eastAsia" w:ascii="方正仿宋_GBK" w:hAnsi="方正仿宋_GBK" w:eastAsia="方正仿宋_GBK" w:cs="方正仿宋_GBK"/>
          <w:lang w:val="en-US" w:eastAsia="zh-CN"/>
        </w:rPr>
      </w:pPr>
    </w:p>
    <w:p>
      <w:pPr>
        <w:spacing w:line="600" w:lineRule="exact"/>
        <w:outlineLvl w:val="2"/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CN"/>
        </w:rPr>
        <w:t>关于成都手工业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2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3057525" cy="3300730"/>
            <wp:effectExtent l="0" t="0" r="9525" b="139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63620" cy="33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 New Roman" w:hAnsi="Times New Roman" w:eastAsia="方正楷体_GBK" w:cs="方正楷体_GBK"/>
          <w:spacing w:val="-10"/>
          <w:kern w:val="0"/>
          <w:sz w:val="24"/>
          <w:shd w:val="clear" w:color="auto" w:fill="FFFFFF"/>
        </w:rPr>
      </w:pPr>
      <w:r>
        <w:rPr>
          <w:rFonts w:hint="eastAsia" w:ascii="Times New Roman" w:hAnsi="Times New Roman" w:eastAsia="方正楷体_GBK" w:cs="方正楷体_GBK"/>
          <w:spacing w:val="-10"/>
          <w:kern w:val="0"/>
          <w:sz w:val="24"/>
          <w:shd w:val="clear" w:color="auto" w:fill="FFFFFF"/>
        </w:rPr>
        <w:t>西汉提花织机模型示意图</w:t>
      </w: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1704340" cy="1910715"/>
            <wp:effectExtent l="0" t="0" r="10160" b="1333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12006" cy="191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 New Roman" w:hAnsi="Times New Roman" w:eastAsia="方正楷体_GBK" w:cs="方正楷体_GBK"/>
          <w:spacing w:val="-10"/>
          <w:kern w:val="0"/>
          <w:sz w:val="24"/>
          <w:shd w:val="clear" w:color="auto" w:fill="FFFFFF"/>
        </w:rPr>
      </w:pPr>
      <w:r>
        <w:rPr>
          <w:rFonts w:hint="eastAsia" w:ascii="Times New Roman" w:hAnsi="Times New Roman" w:eastAsia="方正楷体_GBK" w:cs="方正楷体_GBK"/>
          <w:spacing w:val="-10"/>
          <w:kern w:val="0"/>
          <w:sz w:val="24"/>
          <w:shd w:val="clear" w:color="auto" w:fill="FFFFFF"/>
        </w:rPr>
        <w:t>落花流水锦示意图</w:t>
      </w: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1838325" cy="2027555"/>
            <wp:effectExtent l="0" t="0" r="9525" b="1079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48584" cy="203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 New Roman" w:hAnsi="Times New Roman" w:eastAsia="方正楷体_GBK" w:cs="方正楷体_GBK"/>
          <w:spacing w:val="-10"/>
          <w:kern w:val="0"/>
          <w:sz w:val="24"/>
          <w:shd w:val="clear" w:color="auto" w:fill="FFFFFF"/>
        </w:rPr>
      </w:pPr>
      <w:r>
        <w:rPr>
          <w:rFonts w:hint="eastAsia" w:ascii="Times New Roman" w:hAnsi="Times New Roman" w:eastAsia="方正楷体_GBK" w:cs="方正楷体_GBK"/>
          <w:spacing w:val="-10"/>
          <w:kern w:val="0"/>
          <w:sz w:val="24"/>
          <w:shd w:val="clear" w:color="auto" w:fill="FFFFFF"/>
        </w:rPr>
        <w:t>宋代灯笼锦示意图</w:t>
      </w: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3100070" cy="3319145"/>
            <wp:effectExtent l="0" t="0" r="5080" b="14605"/>
            <wp:docPr id="21" name="图片 21" descr="C:\Users\lm\AppData\Local\Temp\WeChat Files\be4ca1a4ec84b371ee4468d1d65da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lm\AppData\Local\Temp\WeChat Files\be4ca1a4ec84b371ee4468d1d65dac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0070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 New Roman" w:hAnsi="Times New Roman" w:eastAsia="方正楷体_GBK" w:cs="方正楷体_GBK"/>
          <w:spacing w:val="-10"/>
          <w:kern w:val="0"/>
          <w:sz w:val="24"/>
          <w:shd w:val="clear" w:color="auto" w:fill="FFFFFF"/>
        </w:rPr>
      </w:pPr>
      <w:r>
        <w:rPr>
          <w:rFonts w:hint="eastAsia" w:ascii="Times New Roman" w:hAnsi="Times New Roman" w:eastAsia="方正楷体_GBK" w:cs="方正楷体_GBK"/>
          <w:spacing w:val="-10"/>
          <w:kern w:val="0"/>
          <w:sz w:val="24"/>
          <w:shd w:val="clear" w:color="auto" w:fill="FFFFFF"/>
        </w:rPr>
        <w:t>四川酒业分布示意图</w:t>
      </w:r>
    </w:p>
    <w:p>
      <w:pPr>
        <w:spacing w:line="600" w:lineRule="exact"/>
        <w:outlineLvl w:val="2"/>
        <w:rPr>
          <w:rFonts w:hint="default" w:ascii="方正黑体_GBK" w:hAnsi="方正黑体_GBK" w:eastAsia="方正黑体_GBK" w:cs="方正黑体_GBK"/>
          <w:b w:val="0"/>
          <w:bCs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CN"/>
        </w:rPr>
        <w:t>关于交子的原材料：楮纸</w:t>
      </w:r>
    </w:p>
    <w:p>
      <w:pPr>
        <w:widowControl w:val="0"/>
        <w:adjustRightInd/>
        <w:snapToGrid/>
        <w:spacing w:before="0" w:beforeLines="0" w:line="240" w:lineRule="auto"/>
        <w:ind w:firstLine="640" w:firstLineChars="200"/>
        <w:rPr>
          <w:rFonts w:hint="eastAsia" w:ascii="方正仿宋_GBK" w:hAnsi="方正仿宋_GBK" w:eastAsia="方正仿宋_GBK" w:cs="方正仿宋_GBK"/>
          <w:sz w:val="32"/>
          <w:szCs w:val="28"/>
          <w:shd w:val="clear" w:color="auto" w:fill="FFFFFF"/>
        </w:rPr>
      </w:pPr>
      <w:r>
        <w:rPr>
          <w:rFonts w:hint="eastAsia" w:ascii="方正仿宋_GBK" w:hAnsi="方正仿宋_GBK" w:eastAsia="方正仿宋_GBK" w:cs="方正仿宋_GBK"/>
          <w:sz w:val="32"/>
          <w:szCs w:val="28"/>
          <w:shd w:val="clear" w:color="auto" w:fill="FFFFFF"/>
        </w:rPr>
        <w:t>自汉代发明造纸技术后，成都地区</w:t>
      </w:r>
      <w:r>
        <w:rPr>
          <w:rFonts w:hint="eastAsia" w:ascii="方正仿宋_GBK" w:hAnsi="方正仿宋_GBK" w:eastAsia="方正仿宋_GBK" w:cs="方正仿宋_GBK"/>
          <w:sz w:val="32"/>
          <w:szCs w:val="32"/>
          <w:shd w:val="clear" w:color="auto" w:fill="FFFFFF"/>
        </w:rPr>
        <w:t>造纸业开始兴起。</w:t>
      </w:r>
      <w:r>
        <w:rPr>
          <w:rFonts w:hint="eastAsia" w:ascii="方正仿宋_GBK" w:hAnsi="方正仿宋_GBK" w:eastAsia="方正仿宋_GBK" w:cs="方正仿宋_GBK"/>
          <w:sz w:val="32"/>
          <w:szCs w:val="28"/>
          <w:shd w:val="clear" w:color="auto" w:fill="FFFFFF"/>
        </w:rPr>
        <w:t>隋代，双流纸在广都（今双流）诞生。唐代，成都浣花溪一带及广都（今双流）等地，已形成数百家造纸作坊，成都成为全国主要的造纸中心。宋代，成都地区出产纸张以麻纸、楮纸、笺纸最具代表，其中麻纸产量最大，楮纸坚韧耐磨，笺纸精美工巧，而楮纸更是成为纸币印刷的专用纸。</w:t>
      </w: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274310" cy="2995295"/>
            <wp:effectExtent l="0" t="0" r="2540" b="1460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274310" cy="1186180"/>
            <wp:effectExtent l="0" t="0" r="2540" b="13970"/>
            <wp:docPr id="455" name="图片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图片 45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 New Roman" w:hAnsi="Times New Roman" w:eastAsia="方正楷体_GBK" w:cs="方正楷体_GBK"/>
          <w:spacing w:val="-10"/>
          <w:kern w:val="0"/>
          <w:sz w:val="24"/>
          <w:shd w:val="clear" w:color="auto" w:fill="FFFFFF"/>
        </w:rPr>
      </w:pPr>
      <w:r>
        <w:rPr>
          <w:rFonts w:hint="eastAsia" w:ascii="Times New Roman" w:hAnsi="Times New Roman" w:eastAsia="方正楷体_GBK" w:cs="方正楷体_GBK"/>
          <w:spacing w:val="-10"/>
          <w:kern w:val="0"/>
          <w:sz w:val="24"/>
          <w:shd w:val="clear" w:color="auto" w:fill="FFFFFF"/>
        </w:rPr>
        <w:t>楮纸制作示意图</w:t>
      </w:r>
    </w:p>
    <w:p>
      <w:pPr>
        <w:jc w:val="center"/>
        <w:rPr>
          <w:rFonts w:hint="eastAsia" w:ascii="Times New Roman" w:hAnsi="Times New Roman" w:eastAsia="方正楷体_GBK" w:cs="方正楷体_GBK"/>
          <w:spacing w:val="-10"/>
          <w:kern w:val="0"/>
          <w:sz w:val="24"/>
          <w:shd w:val="clear" w:color="auto" w:fill="FFFFFF"/>
        </w:rPr>
      </w:pPr>
    </w:p>
    <w:p>
      <w:pPr>
        <w:jc w:val="center"/>
        <w:rPr>
          <w:rFonts w:hint="eastAsia" w:ascii="Times New Roman" w:hAnsi="Times New Roman" w:eastAsia="方正楷体_GBK" w:cs="方正楷体_GBK"/>
          <w:spacing w:val="-10"/>
          <w:kern w:val="0"/>
          <w:sz w:val="24"/>
          <w:shd w:val="clear" w:color="auto" w:fill="FFFFFF"/>
        </w:rPr>
      </w:pPr>
    </w:p>
    <w:p>
      <w:pPr>
        <w:jc w:val="center"/>
        <w:rPr>
          <w:rFonts w:hint="eastAsia" w:ascii="Times New Roman" w:hAnsi="Times New Roman" w:eastAsia="方正楷体_GBK" w:cs="方正楷体_GBK"/>
          <w:spacing w:val="-10"/>
          <w:kern w:val="0"/>
          <w:sz w:val="24"/>
          <w:shd w:val="clear" w:color="auto" w:fill="FFFFFF"/>
        </w:rPr>
      </w:pPr>
    </w:p>
    <w:p>
      <w:pPr>
        <w:jc w:val="center"/>
        <w:rPr>
          <w:rFonts w:hint="eastAsia" w:ascii="Times New Roman" w:hAnsi="Times New Roman" w:eastAsia="方正楷体_GBK" w:cs="方正楷体_GBK"/>
          <w:spacing w:val="-10"/>
          <w:kern w:val="0"/>
          <w:sz w:val="24"/>
          <w:shd w:val="clear" w:color="auto" w:fill="FFFFFF"/>
        </w:rPr>
      </w:pPr>
    </w:p>
    <w:p>
      <w:pPr>
        <w:spacing w:line="600" w:lineRule="exact"/>
        <w:outlineLvl w:val="2"/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CN"/>
        </w:rPr>
        <w:t>关于宋代成都集市：十二月市</w:t>
      </w:r>
    </w:p>
    <w:p>
      <w:pPr>
        <w:widowControl w:val="0"/>
        <w:spacing w:before="0" w:beforeLines="0" w:line="600" w:lineRule="exact"/>
        <w:ind w:firstLine="560" w:firstLineChars="200"/>
        <w:rPr>
          <w:rFonts w:ascii="Times New Roman" w:hAnsi="Times New Roman"/>
          <w:sz w:val="28"/>
          <w:shd w:val="clear" w:color="auto" w:fill="FFFFFF"/>
        </w:rPr>
      </w:pPr>
      <w:r>
        <w:rPr>
          <w:rFonts w:hint="eastAsia" w:ascii="Times New Roman" w:hAnsi="Times New Roman"/>
          <w:sz w:val="28"/>
          <w:shd w:val="clear" w:color="auto" w:fill="FFFFFF"/>
        </w:rPr>
        <w:t>两宋时期，随着农业和手工业的发展，成都商品市场进一步扩大，根据时令产品的成熟季节以及当地百姓在某一时段的特殊需求，形成了按月令集中贸易特色商品的集市——“十二月市”。北宋名臣赵抃在《成都古今集记》对十二月市有记载：“正月灯市、二月花市、三月蚕市、四月锦市、五月扇市、六月香市、七月宝市、八月桂市、九月药市、十月酒市、十一月梅市、十二月桃符市”。陆游曾在谈到集市盛况时云：“何事又作南来，看重阳药市，元夕灯山。花时万人乐处，欹帽垂鞭。”十二月市多在大慈寺、青羊宫等地举行，这些专业市场集会，不但是成都及近郊人民买卖物资的场所，更吸引着全国各地商人到此集中贸易。</w:t>
      </w:r>
    </w:p>
    <w:p>
      <w:pPr>
        <w:spacing w:line="600" w:lineRule="exact"/>
        <w:outlineLvl w:val="2"/>
        <w:rPr>
          <w:rFonts w:hint="default" w:ascii="方正黑体_GBK" w:hAnsi="方正黑体_GBK" w:eastAsia="方正黑体_GBK" w:cs="方正黑体_GBK"/>
          <w:b w:val="0"/>
          <w:bCs/>
          <w:sz w:val="32"/>
          <w:szCs w:val="32"/>
          <w:lang w:val="en-US" w:eastAsia="zh-CN"/>
        </w:rPr>
      </w:pPr>
    </w:p>
    <w:p>
      <w:pPr>
        <w:jc w:val="center"/>
        <w:rPr>
          <w:rFonts w:hint="default" w:ascii="Times New Roman" w:hAnsi="Times New Roman" w:eastAsia="方正楷体_GBK" w:cs="方正楷体_GBK"/>
          <w:spacing w:val="-10"/>
          <w:kern w:val="0"/>
          <w:sz w:val="24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方正楷体_GBK" w:cs="方正楷体_GBK"/>
          <w:spacing w:val="-10"/>
          <w:kern w:val="0"/>
          <w:sz w:val="24"/>
          <w:shd w:val="clear" w:color="auto" w:fill="FFFFFF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" name="图片 1" descr="01灯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灯市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楷体_GBK" w:cs="方正楷体_GBK"/>
          <w:spacing w:val="-10"/>
          <w:kern w:val="0"/>
          <w:sz w:val="24"/>
          <w:shd w:val="clear" w:color="auto" w:fill="FFFFFF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20" name="图片 20" descr="02花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2花市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楷体_GBK" w:cs="方正楷体_GBK"/>
          <w:spacing w:val="-10"/>
          <w:kern w:val="0"/>
          <w:sz w:val="24"/>
          <w:shd w:val="clear" w:color="auto" w:fill="FFFFFF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9" name="图片 19" descr="03蚕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3蚕市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楷体_GBK" w:cs="方正楷体_GBK"/>
          <w:spacing w:val="-10"/>
          <w:kern w:val="0"/>
          <w:sz w:val="24"/>
          <w:shd w:val="clear" w:color="auto" w:fill="FFFFFF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23" name="图片 23" descr="04锦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4锦市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楷体_GBK" w:cs="方正楷体_GBK"/>
          <w:spacing w:val="-10"/>
          <w:kern w:val="0"/>
          <w:sz w:val="24"/>
          <w:shd w:val="clear" w:color="auto" w:fill="FFFFFF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24" name="图片 24" descr="05扇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5扇市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楷体_GBK" w:cs="方正楷体_GBK"/>
          <w:spacing w:val="-10"/>
          <w:kern w:val="0"/>
          <w:sz w:val="24"/>
          <w:shd w:val="clear" w:color="auto" w:fill="FFFFFF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25" name="图片 25" descr="06香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6香市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楷体_GBK" w:cs="方正楷体_GBK"/>
          <w:spacing w:val="-10"/>
          <w:kern w:val="0"/>
          <w:sz w:val="24"/>
          <w:shd w:val="clear" w:color="auto" w:fill="FFFFFF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26" name="图片 26" descr="07七宝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07七宝市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楷体_GBK" w:cs="方正楷体_GBK"/>
          <w:spacing w:val="-10"/>
          <w:kern w:val="0"/>
          <w:sz w:val="24"/>
          <w:shd w:val="clear" w:color="auto" w:fill="FFFFFF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27" name="图片 27" descr="08桂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8桂市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楷体_GBK" w:cs="方正楷体_GBK"/>
          <w:spacing w:val="-10"/>
          <w:kern w:val="0"/>
          <w:sz w:val="24"/>
          <w:shd w:val="clear" w:color="auto" w:fill="FFFFFF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28" name="图片 28" descr="09药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9药市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楷体_GBK" w:cs="方正楷体_GBK"/>
          <w:spacing w:val="-10"/>
          <w:kern w:val="0"/>
          <w:sz w:val="24"/>
          <w:shd w:val="clear" w:color="auto" w:fill="FFFFFF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29" name="图片 29" descr="10酒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0酒市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楷体_GBK" w:cs="方正楷体_GBK"/>
          <w:spacing w:val="-10"/>
          <w:kern w:val="0"/>
          <w:sz w:val="24"/>
          <w:shd w:val="clear" w:color="auto" w:fill="FFFFFF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30" name="图片 30" descr="11梅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1梅市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楷体_GBK" w:cs="方正楷体_GBK"/>
          <w:spacing w:val="-10"/>
          <w:kern w:val="0"/>
          <w:sz w:val="24"/>
          <w:shd w:val="clear" w:color="auto" w:fill="FFFFFF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31" name="图片 31" descr="12桃符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2桃符市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0000010" w:usb3="00000000" w:csb0="0002009F" w:csb1="00000000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Q2NzFkZjBlOGM1NDYzNTM0MDg5N2NhZWY3YzU0OWEifQ=="/>
  </w:docVars>
  <w:rsids>
    <w:rsidRoot w:val="31DD588B"/>
    <w:rsid w:val="02CF14AA"/>
    <w:rsid w:val="0CA354B0"/>
    <w:rsid w:val="0DA61C6B"/>
    <w:rsid w:val="0E35096D"/>
    <w:rsid w:val="11627CCB"/>
    <w:rsid w:val="14772CA2"/>
    <w:rsid w:val="17C3738F"/>
    <w:rsid w:val="31DD588B"/>
    <w:rsid w:val="35531BEF"/>
    <w:rsid w:val="35D0046B"/>
    <w:rsid w:val="37892452"/>
    <w:rsid w:val="4E324C25"/>
    <w:rsid w:val="4FDA2B47"/>
    <w:rsid w:val="501F67AB"/>
    <w:rsid w:val="5A832B81"/>
    <w:rsid w:val="5AF61EE1"/>
    <w:rsid w:val="5C9B3961"/>
    <w:rsid w:val="5F3F3047"/>
    <w:rsid w:val="5F7F2DC3"/>
    <w:rsid w:val="5F8B1BA9"/>
    <w:rsid w:val="62FC59C7"/>
    <w:rsid w:val="72101A0A"/>
    <w:rsid w:val="75326493"/>
    <w:rsid w:val="7E990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99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qFormat="1" w:uiPriority="99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ocument Map"/>
    <w:basedOn w:val="1"/>
    <w:next w:val="1"/>
    <w:semiHidden/>
    <w:qFormat/>
    <w:uiPriority w:val="0"/>
    <w:pPr>
      <w:spacing w:line="560" w:lineRule="exact"/>
    </w:pPr>
    <w:rPr>
      <w:rFonts w:ascii="宋体" w:cs="宋体"/>
      <w:color w:val="000000"/>
      <w:kern w:val="0"/>
      <w:sz w:val="18"/>
      <w:szCs w:val="18"/>
    </w:rPr>
  </w:style>
  <w:style w:type="paragraph" w:styleId="3">
    <w:name w:val="Body Text"/>
    <w:basedOn w:val="1"/>
    <w:autoRedefine/>
    <w:qFormat/>
    <w:uiPriority w:val="0"/>
    <w:pPr>
      <w:spacing w:line="240" w:lineRule="exact"/>
    </w:pPr>
    <w:rPr>
      <w:rFonts w:ascii="Calibri" w:hAnsi="Calibri" w:eastAsia="方正仿宋_GBK" w:cs="Times New Roman"/>
      <w:szCs w:val="32"/>
    </w:rPr>
  </w:style>
  <w:style w:type="paragraph" w:styleId="4">
    <w:name w:val="footnote text"/>
    <w:basedOn w:val="1"/>
    <w:autoRedefine/>
    <w:qFormat/>
    <w:uiPriority w:val="99"/>
    <w:pPr>
      <w:tabs>
        <w:tab w:val="left" w:pos="0"/>
        <w:tab w:val="left" w:pos="792"/>
      </w:tabs>
      <w:adjustRightInd/>
      <w:snapToGrid/>
      <w:spacing w:beforeLines="0" w:line="240" w:lineRule="auto"/>
      <w:ind w:left="108" w:hanging="108" w:hangingChars="60"/>
    </w:pPr>
    <w:rPr>
      <w:rFonts w:cs="MS Mincho" w:asciiTheme="minorEastAsia" w:hAnsiTheme="minorEastAsia"/>
      <w:bCs/>
      <w:color w:val="000000" w:themeColor="text1"/>
      <w:kern w:val="52"/>
      <w:sz w:val="18"/>
      <w:szCs w:val="20"/>
      <w14:textFill>
        <w14:solidFill>
          <w14:schemeClr w14:val="tx1"/>
        </w14:solidFill>
      </w14:textFill>
    </w:rPr>
  </w:style>
  <w:style w:type="character" w:styleId="7">
    <w:name w:val="endnote reference"/>
    <w:basedOn w:val="6"/>
    <w:autoRedefine/>
    <w:unhideWhenUsed/>
    <w:qFormat/>
    <w:uiPriority w:val="99"/>
    <w:rPr>
      <w:vertAlign w:val="superscript"/>
    </w:rPr>
  </w:style>
  <w:style w:type="character" w:styleId="8">
    <w:name w:val="footnote reference"/>
    <w:basedOn w:val="6"/>
    <w:autoRedefine/>
    <w:qFormat/>
    <w:uiPriority w:val="0"/>
    <w:rPr>
      <w:rFonts w:ascii="Impact" w:hAnsi="Impact" w:eastAsiaTheme="minorEastAsia"/>
      <w:sz w:val="18"/>
      <w:vertAlign w:val="superscript"/>
    </w:rPr>
  </w:style>
  <w:style w:type="paragraph" w:customStyle="1" w:styleId="9">
    <w:name w:val="脚注"/>
    <w:basedOn w:val="1"/>
    <w:next w:val="1"/>
    <w:autoRedefine/>
    <w:qFormat/>
    <w:uiPriority w:val="0"/>
    <w:pPr>
      <w:wordWrap w:val="0"/>
      <w:spacing w:before="0" w:beforeLines="0" w:line="360" w:lineRule="auto"/>
    </w:pPr>
    <w:rPr>
      <w:rFonts w:ascii="Times New Roman" w:hAnsi="Times New Roman" w:eastAsia="宋体" w:cs="宋体"/>
      <w:bCs/>
      <w:kern w:val="0"/>
      <w:sz w:val="18"/>
      <w:szCs w:val="44"/>
      <w:lang w:eastAsia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2024-01-03T05:18:00Z</dcterms:created>
  <dc:creator>w</dc:creator>
  <cp:lastModifiedBy>w</cp:lastModifiedBy>
  <dcterms:modified xsi:type="dcterms:W3CDTF">2024-01-05T09:13:30Z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2EFF9213B36C444DA9F743CE570F0D4A_11</vt:lpwstr>
  </property>
</Properties>
</file>